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КРАТКАЯ ИСТОРИЯ БАКСАНСКОЙ НЕЙТРИННОЙ ОБСЕРВАТОРИИ ИЯИ РАН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hyperlink r:id="rId6" w:tgtFrame="telo" w:history="1">
              <w:proofErr w:type="spellStart"/>
              <w:r w:rsidRPr="00370678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Баксанская</w:t>
              </w:r>
              <w:proofErr w:type="spellEnd"/>
              <w:r w:rsidRPr="00370678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нейтринная обсерватория (БНО)</w:t>
              </w:r>
            </w:hyperlink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входит в состав </w:t>
            </w:r>
            <w:hyperlink r:id="rId7" w:tgtFrame="_parent" w:history="1">
              <w:r w:rsidRPr="00370678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Института ядерных исследований РАН</w:t>
              </w:r>
            </w:hyperlink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(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c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28.12.2015г. - филиал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Баксанская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нейтринная обсерватория ИЯИ РАН) и является экспериментальной базой Института, на которой проводятся исследования в области физики атомного ядра, элементарных частиц, физики космических лучей и нейтринной астрофизики.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Идеи о создании специализированного подземного комплекса для проведения фундаментальных исследований в области нейтринной астрофизики и физики космических лучей появились в конце 50-х годов.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В нашей стране работы в этой области проводились под руководством академика М. А. Маркова, по инициативе которого были выполнены теоретические расчеты и начались поиски подходящих горных выработок глубокого заложения, пригодных для размещения экспериментальных установок.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Создание обсерватории неразрывно связано с именами таких известных ученых как М.А. Марков, А.Н.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Тавхелидзе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В.А. Матвеев, А.Е. Чудаков, Г.Т.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Зацепин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А.А.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Поманский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др.</w:t>
            </w:r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>
                  <wp:extent cx="5715000" cy="3333750"/>
                  <wp:effectExtent l="19050" t="0" r="0" b="0"/>
                  <wp:docPr id="1" name="Рисунок 1" descr="D:\inr\rus\bno\hist-bn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nr\rus\bno\hist-bn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gram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На фотографии, сделанной в БНО ИЯИ АН СССР в 1972 году (слева направо) присутствуют: первый Заведующий Обсерваторией А. А.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Поманский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; н.с. В.В.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Алексеенко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; н.с. В.А. Кузнецов; академик АН СССР Г. Т.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lastRenderedPageBreak/>
              <w:t>Зацепин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; академик АН СССР, президент РАН М. В. Келдыш; зам. заведующего Е. Н. Алексеев; академик, директор ИЯИ РАН А. Н.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Тавхелидзе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;</w:t>
            </w:r>
            <w:proofErr w:type="gram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 член-корреспондент АН СССР А.Е. Чудаков.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В 60-е годы академик М.А. Марков предложил исследовать в подземных экспериментах слабые взаимодействия с помощью нейтрино космических лучей. Предложенный им метод основан на регистрации мюонов, рожденных при взаимодействии нейтрино с нуклонами вещества в недрах Земли.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Другим направлением подземных исследований стала разработка методов регистрации и измерения потока нейтрино, идущих от Солнца. Согласно современным представлениям, основным источником энергии звезд, находящихся, как и наше Солнце, на главной последовательности, служат термоядерные реакции, в результате </w:t>
            </w:r>
            <w:proofErr w:type="gram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которых</w:t>
            </w:r>
            <w:proofErr w:type="gram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четыре протона превращаются в ядро гелия. На первой стадии процесса слиянии двух протонов с образованием ядра дейтерия - генерируется наибольшая часть солнечных нейтрино. Поскольку нейтрино обладают огромной проникающей способностью, они выходят из внутренних областей Солнца и их поток достаточно велик на орбите Земли. Он может быть зарегистрирован специальными детекторами. Регистрация этих нейтрино позволила бы проверить правильность наших представлений о процессах, происходящих внутри Солнца, или, образно говоря, заглянуть внутрь звезды.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Было принято решение объединить оба эти направления и создать единый комплекс подземных лабораторий.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19 июня 1963 года было принято постановление Президиума Академии наук о строительстве подземной станции и создании в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ФИАНе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лаборатории "Нейтрино" (заведующий - Г.Т.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Зацепин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 зав. сектором - А.Е. Чудаков).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Место для будущей обсерватории было выбрано недалеко от горы Эльбрус, в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Баксанском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ущелье, находящемся в Кабардино-Балкарской Республике. К 1967 году было закончено научное обоснование и разработан проект нейтринной станции, в том же году начато строительство. Проект предусматривал строительство двух параллельных горизонтальных тоннелей в горе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Андырчи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(высота горы более 4000 м), вдоль которых предполагалось разместить физические установки. Подземное расположение установок связано с тем, что фон от космических лучей (поток мюонов) снижается по мере углубления под землю и в конце тоннеля почти в 107 раз ниже, чем на поверхности. Одновременно предусматривалось строительство необходимых инженерных и хозяйственных сооружений, и жилого поселка для сотрудников.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Реализацией этих замыслов явилось создание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Баксанской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нейтринной обсерватории. Первым заведующим станцией был назначен А.А.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Поманский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Программа исследований обсерватории расширялась по мере введения в строй новых наземных и подземных сооружений. В процессе развития на БНО возник комплекс уникальных научных сооружений, отвечающий всем современным требованиям.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Еще в начале строительства Обсерватория привлекала внимание ведущих физиков. Например, данная фотография была сделана в 1974 году во время визита в БНО ИЯИ РАН американского физика Ф. Райнеса, впервые зарегистрировавшего антинейтрино от реактора (в 1995 году Ф. Райнес был удостоен Нобелевской премии по физике).</w:t>
            </w:r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715000" cy="3724275"/>
                  <wp:effectExtent l="19050" t="0" r="0" b="0"/>
                  <wp:docPr id="2" name="Рисунок 2" descr="D:\inr\rus\bno\hist-b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nr\rus\bno\hist-bn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gram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На фото 1974 г. (слева направо) н.с. Е.Л. Ковальчук, н.с. В.В. Кузьминов, заведующий Обсерваторией А.А.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Поманский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, н.с. В.А. Кузнецов, американский ученый Ф. Райнес, н.с. В.В.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Алексеенко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, н.с. В.Я. Марков, н.с. В.А.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Догужаев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, н.с. В.А.Кузьмин, (сидят) н.с. Д.Д.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Джаппуев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, н.с. В.И.</w:t>
            </w:r>
            <w:proofErr w:type="gram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 Парамонов, н.с. Ю.В.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Маловичко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, н.с. В.А. </w:t>
            </w:r>
            <w:proofErr w:type="spell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Тизенгаузен</w:t>
            </w:r>
            <w:proofErr w:type="spell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 xml:space="preserve">, н.с. Б.Б. Татьян, </w:t>
            </w:r>
            <w:proofErr w:type="gramStart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н</w:t>
            </w:r>
            <w:proofErr w:type="gramEnd"/>
            <w:r w:rsidRPr="00370678">
              <w:rPr>
                <w:rFonts w:ascii="Verdana" w:eastAsia="Times New Roman" w:hAnsi="Verdana" w:cs="Times New Roman"/>
                <w:i/>
                <w:iCs/>
                <w:color w:val="000066"/>
                <w:sz w:val="17"/>
                <w:szCs w:val="17"/>
                <w:lang w:eastAsia="ru-RU"/>
              </w:rPr>
              <w:t>.с. М.Д. Гальперин.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Обсерваторию посещали ученые с мировым именем Р. Дэвис (нобелевский лауреат по физике 2002г), Р.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Мёссбауэр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(нобелевский лауреат по физике 1961г.), В.Л. Гинзбург (нобелевский лауреат 2003 г.), академик Б.М.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Понтекорво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другие выдающиеся физики.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последнее время в физике сделаны выдающиеся открытия, приведшие к революционным изменениям в понимании строения материи и фундаментальных сил природы: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кварк-глюонное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строение адронов, единая природа электромагнитного и слабого взаимодействий, возможность единого описания всех видов взаимодействий в рамках Великого объединения и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суперсимметрии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Возникающие новые проблемы нуждаются в дальнейших экспериментальных исследованиях на больших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ядернофизических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установках, в том числе и на размещенных в подземных условиях; это позволило существенно расширить круг задач, изучаемых на БНО.</w:t>
            </w:r>
            <w:proofErr w:type="gramEnd"/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715000" cy="3762375"/>
                  <wp:effectExtent l="19050" t="0" r="0" b="0"/>
                  <wp:docPr id="3" name="Рисунок 3" descr="D:\inr\rus\bno\hist-bn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nr\rus\bno\hist-bn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678" w:rsidRPr="00370678" w:rsidTr="00370678">
        <w:trPr>
          <w:tblCellSpacing w:w="0" w:type="dxa"/>
        </w:trPr>
        <w:tc>
          <w:tcPr>
            <w:tcW w:w="10500" w:type="dxa"/>
            <w:shd w:val="clear" w:color="auto" w:fill="F5F5F5"/>
            <w:vAlign w:val="center"/>
            <w:hideMark/>
          </w:tcPr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Создание комплекса научных установок позволило</w:t>
            </w:r>
          </w:p>
          <w:p w:rsidR="00370678" w:rsidRPr="00370678" w:rsidRDefault="00370678" w:rsidP="00370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начать непосредственное исследование внутреннего строения и эволюции Солнца, звезд, ядра Галактики и других объектов Вселенной путем регистрации их нейтринного и гамма излучений;</w:t>
            </w:r>
          </w:p>
          <w:p w:rsidR="00370678" w:rsidRPr="00370678" w:rsidRDefault="00370678" w:rsidP="00370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осуществить поиск новых частиц и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сверхредких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процессов, предсказываемых современными теориями элементарных частиц на недоступном другим методам уровне чувствительности;</w:t>
            </w:r>
          </w:p>
          <w:p w:rsidR="00370678" w:rsidRPr="00370678" w:rsidRDefault="00370678" w:rsidP="00370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исследовать взаимодействия нейтрино и мюонов с веществом в области высоких и сверхвысоких энергий, лежащих за пределами возможностей ускорительной техники.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1998 году за создание научного комплекса БНО коллектив сотрудников Института и Обсерватории был удостоен Государственной премии Российской Федерации, в 2001 году за достижения в области исследований потока нейтрино от Солнца присуждена Международная премия им. Б. М.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Понтекорво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lastRenderedPageBreak/>
              <w:t>Основными направления научных исследований БНО являются:</w:t>
            </w:r>
          </w:p>
          <w:p w:rsidR="00370678" w:rsidRPr="00370678" w:rsidRDefault="00370678" w:rsidP="00370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физика элементарных частиц, физика высоких энергий, космология;</w:t>
            </w:r>
          </w:p>
          <w:p w:rsidR="00370678" w:rsidRPr="00370678" w:rsidRDefault="00370678" w:rsidP="00370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нейтринная астрофизика, нейтринная и γ - астрономия, физика космических лучей, проблема Солнечных нейтрино;</w:t>
            </w:r>
          </w:p>
          <w:p w:rsidR="00370678" w:rsidRPr="00370678" w:rsidRDefault="00370678" w:rsidP="00370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разработка и создание нейтринных телескопов в низкофоновых подземных лабораториях для исследования природных потоков нейтрино и других элементарных частиц;</w:t>
            </w:r>
          </w:p>
          <w:p w:rsidR="00370678" w:rsidRPr="00370678" w:rsidRDefault="00370678" w:rsidP="00370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двойной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бетараспад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поиск темной материи.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2011 году - в штате </w:t>
            </w:r>
            <w:proofErr w:type="spellStart"/>
            <w:proofErr w:type="gram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O</w:t>
            </w:r>
            <w:proofErr w:type="gram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бсерватории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29 научных сотрудников активно ведущих научную работу (2 доктора и 14 кандидатов физико-математических наук). Заведующий Обсерваторией </w:t>
            </w:r>
            <w:proofErr w:type="spellStart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д.ф.-м.н</w:t>
            </w:r>
            <w:proofErr w:type="spellEnd"/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 В.В. Кузьминов.</w:t>
            </w:r>
          </w:p>
          <w:p w:rsidR="00370678" w:rsidRPr="00370678" w:rsidRDefault="00370678" w:rsidP="0037067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t>В состав Обсерватории входят следующие подразделения: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Баксанский</w:t>
            </w:r>
            <w:proofErr w:type="spellEnd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 xml:space="preserve"> подземный сцинтилляционный телескоп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КОВЕ</w:t>
            </w:r>
            <w:proofErr w:type="gramStart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Р-</w:t>
            </w:r>
            <w:proofErr w:type="gramEnd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 xml:space="preserve"> установка для регистрации широких атмосферных ливней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КОВЕР-2 - комплексная установка для регистрации широких атмосферных ливней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АНДЫРЧИ - нагорная установка для регистрации широких атмосферных ливней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Галлий-германиевый</w:t>
            </w:r>
            <w:proofErr w:type="spellEnd"/>
            <w:proofErr w:type="gramEnd"/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 xml:space="preserve"> нейтринный телескоп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hyperlink r:id="rId11" w:anchor="top" w:tgtFrame="telo" w:history="1">
              <w:r w:rsidRPr="00370678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Низкофоновая лаборатория N1</w:t>
              </w:r>
            </w:hyperlink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hyperlink r:id="rId12" w:anchor="top" w:tgtFrame="telo" w:history="1">
              <w:r w:rsidRPr="00370678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Низкофоновая лаборатория N2</w:t>
              </w:r>
            </w:hyperlink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;</w:t>
            </w:r>
          </w:p>
          <w:p w:rsidR="00370678" w:rsidRPr="00370678" w:rsidRDefault="00370678" w:rsidP="00370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70678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Низкофоновая лаборатория глубокого заложения</w:t>
            </w:r>
            <w:r w:rsidRPr="0037067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</w:tc>
      </w:tr>
    </w:tbl>
    <w:p w:rsidR="00AF25CC" w:rsidRDefault="00AF25CC"/>
    <w:sectPr w:rsidR="00AF25CC" w:rsidSect="00370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45"/>
    <w:multiLevelType w:val="multilevel"/>
    <w:tmpl w:val="3A1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C68D5"/>
    <w:multiLevelType w:val="multilevel"/>
    <w:tmpl w:val="424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33153"/>
    <w:multiLevelType w:val="multilevel"/>
    <w:tmpl w:val="11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678"/>
    <w:rsid w:val="00370678"/>
    <w:rsid w:val="00AF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CC"/>
  </w:style>
  <w:style w:type="paragraph" w:styleId="4">
    <w:name w:val="heading 4"/>
    <w:basedOn w:val="a"/>
    <w:link w:val="40"/>
    <w:uiPriority w:val="9"/>
    <w:qFormat/>
    <w:rsid w:val="003706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706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0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067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78"/>
    <w:rPr>
      <w:rFonts w:ascii="Tahoma" w:hAnsi="Tahoma" w:cs="Tahoma"/>
      <w:sz w:val="16"/>
      <w:szCs w:val="16"/>
    </w:rPr>
  </w:style>
  <w:style w:type="paragraph" w:styleId="a7">
    <w:name w:val="toa heading"/>
    <w:basedOn w:val="a"/>
    <w:next w:val="a"/>
    <w:uiPriority w:val="99"/>
    <w:semiHidden/>
    <w:unhideWhenUsed/>
    <w:rsid w:val="003706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r.ru" TargetMode="External"/><Relationship Id="rId12" Type="http://schemas.openxmlformats.org/officeDocument/2006/relationships/hyperlink" Target="file:///D:\inr\rus\bno\lnf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inr\rus\bno\obno.html" TargetMode="External"/><Relationship Id="rId11" Type="http://schemas.openxmlformats.org/officeDocument/2006/relationships/hyperlink" Target="file:///D:\inr\rus\bno\lnfi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9348-D2AC-457D-B3F1-BBC43732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2025-02-10T11:59:00Z</dcterms:created>
  <dcterms:modified xsi:type="dcterms:W3CDTF">2025-02-10T12:07:00Z</dcterms:modified>
</cp:coreProperties>
</file>